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framePr w:wrap="auto" w:vAnchor="margin" w:hAnchor="text" w:yAlign="inline"/>
        <w:spacing w:line="60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  <w:lang w:val="zh-TW" w:eastAsia="zh-TW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sz w:val="44"/>
          <w:szCs w:val="44"/>
          <w:rtl w:val="0"/>
          <w:lang w:val="zh-TW" w:eastAsia="zh-TW"/>
        </w:rPr>
        <w:t>甘肃：推动检查检验结果全省互认共享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不同医疗机构之间检查检验结果不能互认共享，是长期以来群众反映强烈的就医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急难愁盼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问题。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年，甘肃省卫生健康委制定印发《甘肃省检查检验结果互认工作方案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(2020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一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2021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)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》，明确提出到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2021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年年底前，所有二级以上医疗机构全部实现检查检验结果互认，有条件的中医、妇幼保健机构积极推进检查检验结果互认。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年，继续将检查检验结果互认工作列为年度重点工作，要求二级以上医院（含中医院、妇幼保健院）检查检验结果互认全覆盖。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framePr w:wrap="auto" w:vAnchor="margin" w:hAnchor="text" w:yAlign="inline"/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聚焦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堵点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，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四定一建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健全结果互认体系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定工作体系。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年，检查检验结果互联互通互认共享被列入年度全省卫生健康重点工作。相关部门在反复调研的基础上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不断调整完善政策制度和互认体系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全面解决医院责任不明确、目标不清晰、标准不统一、程序不规范、信息平台不联通等问题，通过定期调度、通报督办等形式加大落实力度，建立健全互认共享工作体系，形成各级卫生健康部门一把手亲自抓的高效推进机制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定互认项目。通过科学合理确定检查检验互认项目和互认条件，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7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项检验结果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(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血常规、尿常规、乙肝检测、丙肝检测、常规生化、常规细菌培养及药敏鉴定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)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、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5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项超声检查结果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(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腹部彩超肝、胆、胰、脾、肾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)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、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7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项影像检查结果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(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头部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CT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MRI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、胸部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CT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、腹部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CT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MRI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、脊柱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CT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MRI)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被列入互认项目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后续还将逐渐扩大检查检验互认项目范围。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定互认标准。为实现医疗机构检查检验结果同质化服务目标，省卫生健康委组织省临床检验、超声影像、放射影像质控中心研究制定《甘肃省临床检验结果互认标准》《甘肃省超声影像检查结果互认标准》《甘肃省放射影像检查结果互认标准》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统一操作规范，为各级医疗机构开展检查检验结果互认提供标准依据。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定互认程序。各级医疗机构严格按照互认标准，在出具检查检验报告时对互认项目加以醒目标注，方便临床医生快速识别。患者在医院复诊时，如确需重新检查，须由中级职称以上医师综合评估并签字才可再次开具检查检验项目，严格杜绝无指征的重复检查检验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建检查检验结果共享交换平台。依托甘肃省全民健康信息平台建设检查检验数据共享交换平台，全面打通医疗服务、公共卫生、医疗保障、药品管理等业务系统，实现跨地区、跨机构、跨业务数据大联通。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framePr w:wrap="auto" w:vAnchor="margin" w:hAnchor="text" w:yAlign="inline"/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聚焦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难点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，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三优化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实现同质化提升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优化质控体系。大力推动省市级医疗质量控制体系建设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目前省级和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14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个市州、兰州新区已实现检验、影像、超声等医疗质控中心全覆盖。对全省各级各类医疗机构开展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横向到边、纵向到底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质控工作。对检查检验结果互认所涉及的所有专业技术人员开展业务培训，确保结果同质化。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优化室间质评。积极开展全省医学检验实验室、放射影像、超声科室间质量评价和室内质控。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优化考核流程。为确保检查检验结果互认质量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各级质控中心完成培训考核后，将考核合格的医疗机构纳入互认名单，并根据年度质评结果动态调整互认医院，达不到互认要求的将退出互认名单，全省通报督促整改，并持续建立检查检验结果互认机构动态管理机制。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framePr w:wrap="auto" w:vAnchor="margin" w:hAnchor="text" w:yAlign="inline"/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聚焦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痛点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，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三明确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"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提高医疗机构积极性</w:t>
      </w:r>
    </w:p>
    <w:p>
      <w:pPr>
        <w:pStyle w:val="8"/>
        <w:framePr w:wrap="auto" w:vAnchor="margin" w:hAnchor="text" w:yAlign="inline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明确奖惩措施。坚持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应认尽认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”“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奖惩并用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。明确监管措施。将检验检查结果互认工作纳入大型医院巡查、医院等级评审等工作进行监管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达到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以管促改、以管促建、以管提质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效果。明确激励措施。明确医疗机构室间质评成绩与医院等级评审、能力建设经费拨付挂钩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;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鼓励将医务人员分析判读全省检查检验结果、开展结果互认工作情况作为绩效分配的考核指标。</w:t>
      </w:r>
    </w:p>
    <w:p>
      <w:pPr>
        <w:pStyle w:val="8"/>
        <w:framePr w:wrap="auto" w:vAnchor="margin" w:hAnchor="text" w:yAlign="inline"/>
        <w:spacing w:line="600" w:lineRule="exact"/>
        <w:ind w:firstLine="640"/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截至目前，全省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234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家医疗机构实现临床检验结果互认，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252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家实现超声检查结果互认，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176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家实现放射影像检查结果互认。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zh-TW" w:eastAsia="zh-TW"/>
        </w:rPr>
        <w:t>据测算，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en-US"/>
        </w:rPr>
        <w:t>2021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zh-TW" w:eastAsia="zh-TW"/>
        </w:rPr>
        <w:t>年全省推行检查检验结果互认以来，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zh-CN" w:eastAsia="zh-CN"/>
        </w:rPr>
        <w:t>每年至少可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zh-TW" w:eastAsia="zh-TW"/>
        </w:rPr>
        <w:t>为患者节约医疗费用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zh-CN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00"/>
          <w:rtl w:val="0"/>
          <w:lang w:val="zh-TW" w:eastAsia="zh-TW"/>
        </w:rPr>
        <w:t>亿元。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tabs>
        <w:tab w:val="right" w:pos="8280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10006330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framePr w:wrap="auto" w:vAnchor="margin" w:hAnchor="text" w:yAlign="inline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25.6pt;margin-top:787.9pt;height:144pt;width:144pt;mso-position-horizontal-relative:page;mso-position-vertical-relative:page;z-index:-251657216;mso-width-relative:page;mso-height-relative:page;" filled="f" stroked="f" coordsize="21600,21600" o:gfxdata="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XnmU2gAAAA0BAAAPAAAAAAAAAAEAIAAAACIAAABkcnMvZG93bnJldi54bWxQSwECFAAUAAAA&#10;CACHTuJA2SscJOwBAADtAwAADgAAAAAAAAABACAAAAApAQAAZHJzL2Uyb0RvYy54bWxQSwUGAAAA&#10;AAYABgBZAQAAh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framePr w:wrap="auto" w:vAnchor="margin" w:hAnchor="text" w:yAlign="inline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rtl w:val="0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DNlZGU4MzhiMTNlYmE5YjVhYTdmZDEwYTJmMjMxODcifQ=="/>
  </w:docVars>
  <w:rsids>
    <w:rsidRoot w:val="00000000"/>
    <w:rsid w:val="46BB4815"/>
    <w:rsid w:val="7F1A4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1486</Words>
  <Characters>1526</Characters>
  <TotalTime>0</TotalTime>
  <ScaleCrop>false</ScaleCrop>
  <LinksUpToDate>false</LinksUpToDate>
  <CharactersWithSpaces>1526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2022-09-01T12:08:00Z</dcterms:created>
  <dc:creator>27915</dc:creator>
  <cp:lastModifiedBy>瑾陌</cp:lastModifiedBy>
  <dcterms:modified xsi:type="dcterms:W3CDTF">2022-09-01T12:11:18Z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9FF53A66348C4204B2BF9B5B281C667F</vt:lpwstr>
  </property>
</Properties>
</file>