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56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中国新闻奖参评作品推荐表</w:t>
      </w:r>
    </w:p>
    <w:p>
      <w:pPr>
        <w:tabs>
          <w:tab w:val="right" w:pos="8730"/>
        </w:tabs>
        <w:spacing w:line="560" w:lineRule="exact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(音视频新闻访谈、新闻直播和广播电视新闻编排)</w:t>
      </w:r>
    </w:p>
    <w:tbl>
      <w:tblPr>
        <w:tblStyle w:val="2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08"/>
        <w:gridCol w:w="3190"/>
        <w:gridCol w:w="1843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097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319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总编辑会客厅·直通全国两会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音视频新闻访谈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209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09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集体（巩炜 蹇勇德 邱暄美 张国华 曹剑南 周尚业 李晓君 宜秀萍 董文龙  杨方铭 王冠皓 刘晓伟 郭菡璋 王梓潼 郑金戈 袁志伟 白羚媛 付诗冉 尹黛 宋蕾蕾 龙毅）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吴梦寒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冯杨</w:t>
            </w:r>
          </w:p>
          <w:p>
            <w:pPr>
              <w:spacing w:line="260" w:lineRule="exac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郝婉君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甘肃新媒体集团新甘肃客户端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刊播单位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60" w:lineRule="exact"/>
              <w:rPr>
                <w:rFonts w:hint="default" w:ascii="仿宋_GB2312" w:eastAsia="仿宋_GB2312"/>
                <w:color w:val="000000"/>
                <w:sz w:val="11"/>
                <w:szCs w:val="21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新甘肃客户端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刊播频率频道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刊播日期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" w:hAnsi="仿宋" w:eastAsia="仿宋"/>
                <w:color w:val="000000"/>
                <w:szCs w:val="21"/>
                <w:lang w:val="en-US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2022年3月6日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28"/>
                <w:szCs w:val="28"/>
              </w:rPr>
              <w:t>新媒体作品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28"/>
                <w:szCs w:val="28"/>
              </w:rPr>
              <w:t>填报网址</w:t>
            </w:r>
          </w:p>
        </w:tc>
        <w:tc>
          <w:tcPr>
            <w:tcW w:w="7114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instrText xml:space="preserve"> HYPERLINK "https://xgs.newgscloud.com/pages/2022/03/06/e423496d36854a38b2fcff11ffc32c8d.html?shareAppId=010eda90e37540a89370abb2b2d63a9e" </w:instrText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t>https://xgs.newgscloud.com/pages/2022/03/06/e423496d36854a38b2fcff11ffc32c8d.html?shareAppId=010eda90e37540a89370abb2b2d63a9e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t>https://xgs.newgscloud.com/pages/2022/03/06/9725dff815de4731a400635f3cfa2831.html?shareAppId=010eda90e37540a89370abb2b2d63a9e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instrText xml:space="preserve"> HYPERLINK "https://xgs.newgscloud.com/pages/2022/03/07/00b1526cde8f42c7b524769208e66dcf.html?shareAppId=010eda90e37540a89370abb2b2d63a9e" </w:instrText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t>https://xgs.newgscloud.com/pages/2022/03/07/00b1526cde8f42c7b524769208e66dcf.html?shareAppId=010eda90e37540a89370abb2b2d63a9e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t>https://xgs.newgscloud.com/pages/2022/03/08/47ecd12fb5de44939670a0d1f6139618.html?shareAppId=010eda90e37540a89370abb2b2d63a9e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t>https://xgs.newgscloud.com/pages/2022/03/08/8fb35b3d79c249a89bfb8e4814fbeff4.html?shareAppId=010eda90e37540a89370abb2b2d63a9e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t>https://xgs.newgscloud.com/pages/2022/03/09/92dab85ef8384b05bf27222cf38538c8.html?shareAppId=010eda90e37540a89370abb2b2d63a9e</w:t>
            </w:r>
          </w:p>
          <w:p>
            <w:pPr>
              <w:spacing w:line="2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color w:val="0000FF"/>
                <w:u w:val="single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222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eastAsia="zh-CN"/>
              </w:rPr>
              <w:t>2022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年全国两会期间新甘肃客户端推出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《总编辑会客厅·直通全国两会》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新闻访谈节目</w:t>
            </w: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邀请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甘肃日报社总编辑、副总编辑通过远程连线，与多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位人大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代表、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政协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委员紧靠政府工作报告，结合甘肃实际工作，围绕“四强”行动助推高质量发展、推动西部地区教育振兴、职业技能培训人才培养、保护弘扬敦煌文化、利用新能源建设“风光强省”、筑牢国家西部生态安全屏障6个方面展开云端对话。打破空间局限，破围采访壁垒，钻研崭新技术，利用跨越时空多方连线的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“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云客厅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”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访谈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形式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，实现多屏互动，高端访谈、基层声音同步迸发新活力，全面记录人大代表和政协委员心系国是、情牵陇原的具体实践。聚焦甘肃未来发展前景，每日访谈中，总编辑的采访问题整合网民关心热点，通过跨屏访谈，代表委员根据自身领域回应民生关切，饱含温情与热忱，拉近了代表委员与群众之间的距离，采访环节缜密高效，节目内容详实亲和，通过互联网，第一时间为观众传递来自全国两会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8222" w:type="dxa"/>
            <w:gridSpan w:val="4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《总编辑会客厅·直通全国两会》创新报道形式、优化采编方式</w:t>
            </w: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采用跨屏联动，新媒体融合传播形式，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在新甘肃客户端共刊发6期，并在全省范围内引起热烈反响</w:t>
            </w: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多家市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县级融媒体中心</w:t>
            </w: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电视台转发刊播</w:t>
            </w: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val="en-US" w:eastAsia="zh-Hans"/>
              </w:rPr>
              <w:t>。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为扩大传播效果，新甘肃客户端特开设专栏，并在《甘肃日报》以“文字+主题海报”形式，在特刊以头条形式刊发。同时设计配套微海报，添加视频二维码，方便读者通过扫码收看新甘肃客户端访谈视频。并同步策划推出相关新媒体产品，形式新颖、内容简洁，受到观众读者广泛赞誉</w:t>
            </w:r>
            <w:r>
              <w:rPr>
                <w:rFonts w:hint="default" w:ascii="宋体" w:hAnsi="宋体" w:cs="宋体"/>
                <w:sz w:val="24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全网阅读量超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00万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，相关视频接连登上热搜前列</w:t>
            </w: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︶</w:t>
            </w:r>
          </w:p>
        </w:tc>
        <w:tc>
          <w:tcPr>
            <w:tcW w:w="8222" w:type="dxa"/>
            <w:gridSpan w:val="4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宋体" w:hAnsi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vertAlign w:val="baseline"/>
                <w:lang w:val="en-US" w:eastAsia="zh-CN"/>
              </w:rPr>
              <w:t>该视频访谈政治站位高，新闻敏感度强，主题突出、角度独到、立意深远。通过对人大代表和政协委员的连线专访，聚焦甘肃未来发展前景，回答了一系列公众关心的问题，也从一个独特角度，反映出甘肃取得的发展成就及未来的发展方向。作品采用跨屏联动，新媒体融合传播形式，充分利用多媒体不同的传播优势，取得了良好的传播效果。节目呈现形式新颖，内容充实，一经上线，立刻成为甘肃省在2022全国两会期间的报道亮点，同时节目也为加快建设幸福美好新甘肃、全面建设社会主义现代化营造出良好舆论氛围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ECF6A56-62A3-4E37-B22A-F3AE39BA98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533BED-7818-42DF-9C00-D638BA19C88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E1C117-0757-4B47-A115-FB34C3EBA2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5201128-5A9B-46EF-85E0-685F8B10D1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JiNWU2YjFhZDdmODIwNThkN2EzZjAyZjhjYzkifQ=="/>
  </w:docVars>
  <w:rsids>
    <w:rsidRoot w:val="7A4B29F9"/>
    <w:rsid w:val="0E924DFD"/>
    <w:rsid w:val="0F7FC858"/>
    <w:rsid w:val="17AD2AEC"/>
    <w:rsid w:val="3E402639"/>
    <w:rsid w:val="42674891"/>
    <w:rsid w:val="4DEA42FA"/>
    <w:rsid w:val="568B21C3"/>
    <w:rsid w:val="6BD8131A"/>
    <w:rsid w:val="7A4B29F9"/>
    <w:rsid w:val="7B3867F0"/>
    <w:rsid w:val="FFF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1094</Words>
  <Characters>1850</Characters>
  <Lines>0</Lines>
  <Paragraphs>0</Paragraphs>
  <TotalTime>2</TotalTime>
  <ScaleCrop>false</ScaleCrop>
  <LinksUpToDate>false</LinksUpToDate>
  <CharactersWithSpaces>1908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2023-04-11T10:52:00Z</dcterms:created>
  <dc:creator> 麦丢丢 </dc:creator>
  <cp:lastModifiedBy>李婧</cp:lastModifiedBy>
  <cp:lastPrinted>2023-04-11T08:23:00Z</cp:lastPrinted>
  <dcterms:modified xsi:type="dcterms:W3CDTF">2023-04-14T06:39:55Z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7044D0520C884537AC0A9990F4D10840</vt:lpwstr>
  </property>
</Properties>
</file>